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
        <w:rPr>
          <w:rFonts w:ascii="Times New Roman" w:eastAsia="Times New Roman"/>
        </w:rPr>
      </w:pPr>
      <w:r>
        <w:t xml:space="preserve">附件 </w:t>
      </w:r>
      <w:r>
        <w:rPr>
          <w:rFonts w:ascii="Times New Roman" w:eastAsia="Times New Roman"/>
        </w:rPr>
        <w:t>2</w:t>
      </w:r>
    </w:p>
    <w:p>
      <w:pPr>
        <w:pStyle w:val="2"/>
        <w:ind w:left="0"/>
        <w:rPr>
          <w:rFonts w:ascii="Times New Roman"/>
          <w:sz w:val="20"/>
        </w:rPr>
      </w:pPr>
    </w:p>
    <w:p>
      <w:pPr>
        <w:pStyle w:val="2"/>
        <w:ind w:left="0"/>
        <w:rPr>
          <w:rFonts w:ascii="Times New Roman"/>
          <w:sz w:val="20"/>
        </w:rPr>
      </w:pPr>
    </w:p>
    <w:p>
      <w:pPr>
        <w:pStyle w:val="2"/>
        <w:spacing w:before="11"/>
        <w:ind w:left="0"/>
        <w:rPr>
          <w:rFonts w:ascii="Times New Roman"/>
          <w:sz w:val="15"/>
        </w:rPr>
      </w:pPr>
      <w:bookmarkStart w:id="0" w:name="_GoBack"/>
      <w:r>
        <w:drawing>
          <wp:anchor distT="0" distB="0" distL="0" distR="0" simplePos="0" relativeHeight="251659264" behindDoc="0" locked="0" layoutInCell="1" allowOverlap="1">
            <wp:simplePos x="0" y="0"/>
            <wp:positionH relativeFrom="page">
              <wp:posOffset>1403350</wp:posOffset>
            </wp:positionH>
            <wp:positionV relativeFrom="paragraph">
              <wp:posOffset>140970</wp:posOffset>
            </wp:positionV>
            <wp:extent cx="5032375" cy="318770"/>
            <wp:effectExtent l="0" t="0" r="0" b="5080"/>
            <wp:wrapTopAndBottom/>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png"/>
                    <pic:cNvPicPr>
                      <a:picLocks noChangeAspect="1"/>
                    </pic:cNvPicPr>
                  </pic:nvPicPr>
                  <pic:blipFill>
                    <a:blip r:embed="rId6" cstate="print"/>
                    <a:stretch>
                      <a:fillRect/>
                    </a:stretch>
                  </pic:blipFill>
                  <pic:spPr>
                    <a:xfrm>
                      <a:off x="0" y="0"/>
                      <a:ext cx="5032374" cy="318516"/>
                    </a:xfrm>
                    <a:prstGeom prst="rect">
                      <a:avLst/>
                    </a:prstGeom>
                  </pic:spPr>
                </pic:pic>
              </a:graphicData>
            </a:graphic>
          </wp:anchor>
        </w:drawing>
      </w:r>
      <w:bookmarkEnd w:id="0"/>
    </w:p>
    <w:p>
      <w:pPr>
        <w:pStyle w:val="2"/>
        <w:ind w:left="0"/>
        <w:rPr>
          <w:rFonts w:ascii="Times New Roman"/>
          <w:sz w:val="20"/>
        </w:rPr>
      </w:pPr>
    </w:p>
    <w:p>
      <w:pPr>
        <w:pStyle w:val="2"/>
        <w:spacing w:before="10"/>
        <w:ind w:left="0"/>
        <w:rPr>
          <w:rFonts w:ascii="Times New Roman"/>
          <w:sz w:val="28"/>
        </w:rPr>
      </w:pPr>
    </w:p>
    <w:p>
      <w:pPr>
        <w:pStyle w:val="2"/>
        <w:spacing w:before="16"/>
        <w:ind w:left="772"/>
      </w:pPr>
      <w:r>
        <w:t>一、总则</w:t>
      </w:r>
    </w:p>
    <w:p>
      <w:pPr>
        <w:pStyle w:val="2"/>
        <w:spacing w:before="72"/>
        <w:ind w:left="772"/>
        <w:rPr>
          <w:rFonts w:hint="eastAsia" w:ascii="宋体" w:eastAsia="宋体"/>
        </w:rPr>
      </w:pPr>
      <w:r>
        <w:rPr>
          <w:rFonts w:hint="eastAsia" w:ascii="宋体" w:eastAsia="宋体"/>
        </w:rPr>
        <w:t>（一）评奖宗旨</w:t>
      </w:r>
    </w:p>
    <w:p>
      <w:pPr>
        <w:pStyle w:val="2"/>
        <w:spacing w:before="68" w:line="228" w:lineRule="auto"/>
        <w:ind w:right="1374" w:firstLine="640"/>
        <w:jc w:val="both"/>
      </w:pPr>
      <w:r>
        <w:rPr>
          <w:spacing w:val="-7"/>
        </w:rPr>
        <w:t>以习近平新时代中国特色社会主义思想为指导，营造积极向</w:t>
      </w:r>
      <w:r>
        <w:rPr>
          <w:spacing w:val="-12"/>
        </w:rPr>
        <w:t>上、格调高雅、健康文明的艺术文化氛围，公开公正公平，展现</w:t>
      </w:r>
      <w:r>
        <w:rPr>
          <w:spacing w:val="-7"/>
        </w:rPr>
        <w:t>当代青年艺术才华和精神风貌，挖掘我省青年文化艺术人才，为</w:t>
      </w:r>
      <w:r>
        <w:t>谱写新时代中国特色社会主义的湖南新篇章贡献青春力量。</w:t>
      </w:r>
    </w:p>
    <w:p>
      <w:pPr>
        <w:pStyle w:val="2"/>
        <w:spacing w:before="82"/>
        <w:ind w:left="772"/>
        <w:rPr>
          <w:rFonts w:hint="eastAsia" w:ascii="宋体" w:eastAsia="宋体"/>
        </w:rPr>
      </w:pPr>
      <w:r>
        <w:rPr>
          <w:rFonts w:hint="eastAsia" w:ascii="宋体" w:eastAsia="宋体"/>
        </w:rPr>
        <w:t>（二）评奖纪律</w:t>
      </w:r>
    </w:p>
    <w:p>
      <w:pPr>
        <w:pStyle w:val="2"/>
        <w:spacing w:before="68" w:line="228" w:lineRule="auto"/>
        <w:ind w:right="1374" w:firstLine="640"/>
        <w:jc w:val="both"/>
      </w:pPr>
      <w:r>
        <w:rPr>
          <w:spacing w:val="-7"/>
        </w:rPr>
        <w:t>艺术节评奖工作认真执行中共中央办公厅、国务院办公厅印</w:t>
      </w:r>
      <w:r>
        <w:rPr>
          <w:spacing w:val="-12"/>
        </w:rPr>
        <w:t>发的《关于全国性文艺评奖制度改革的意见》等文件规定，严格</w:t>
      </w:r>
      <w:r>
        <w:rPr>
          <w:spacing w:val="-13"/>
        </w:rPr>
        <w:t>评奖程序，严肃评奖工作纪律。艺术节评奖工作由纪检监察部门</w:t>
      </w:r>
      <w:r>
        <w:t>负责监督，确保评奖工作风清气正、公开透明。</w:t>
      </w:r>
    </w:p>
    <w:p>
      <w:pPr>
        <w:pStyle w:val="2"/>
        <w:spacing w:line="553" w:lineRule="exact"/>
        <w:ind w:left="772"/>
      </w:pPr>
      <w:r>
        <w:t>二、奖项设置</w:t>
      </w:r>
    </w:p>
    <w:p>
      <w:pPr>
        <w:pStyle w:val="2"/>
        <w:spacing w:before="7" w:line="228" w:lineRule="auto"/>
        <w:ind w:right="1367" w:firstLine="640"/>
        <w:jc w:val="both"/>
      </w:pPr>
      <w:r>
        <w:t>（一</w:t>
      </w:r>
      <w:r>
        <w:rPr>
          <w:spacing w:val="-58"/>
        </w:rPr>
        <w:t>）</w:t>
      </w:r>
      <w:r>
        <w:rPr>
          <w:spacing w:val="-7"/>
        </w:rPr>
        <w:t>总决赛参赛作品奖项：按照参加艺术节节目数严格控</w:t>
      </w:r>
      <w:r>
        <w:rPr>
          <w:spacing w:val="-13"/>
        </w:rPr>
        <w:t xml:space="preserve">制评奖比例，设立金、银、铜，总获奖比例不超过 </w:t>
      </w:r>
      <w:r>
        <w:rPr>
          <w:rFonts w:ascii="Times New Roman" w:eastAsia="Times New Roman"/>
          <w:spacing w:val="-7"/>
        </w:rPr>
        <w:t>30%</w:t>
      </w:r>
      <w:r>
        <w:rPr>
          <w:spacing w:val="-6"/>
        </w:rPr>
        <w:t>，其中金</w:t>
      </w:r>
      <w:r>
        <w:rPr>
          <w:w w:val="99"/>
        </w:rPr>
        <w:t>奖不超过</w:t>
      </w:r>
      <w:r>
        <w:t xml:space="preserve"> </w:t>
      </w:r>
      <w:r>
        <w:rPr>
          <w:rFonts w:ascii="Times New Roman" w:eastAsia="Times New Roman"/>
          <w:spacing w:val="1"/>
          <w:w w:val="99"/>
        </w:rPr>
        <w:t>5</w:t>
      </w:r>
      <w:r>
        <w:rPr>
          <w:rFonts w:ascii="Times New Roman" w:eastAsia="Times New Roman"/>
          <w:w w:val="99"/>
        </w:rPr>
        <w:t>%</w:t>
      </w:r>
      <w:r>
        <w:rPr>
          <w:w w:val="99"/>
        </w:rPr>
        <w:t>、银奖不超过</w:t>
      </w:r>
      <w:r>
        <w:t xml:space="preserve"> </w:t>
      </w:r>
      <w:r>
        <w:rPr>
          <w:rFonts w:ascii="Times New Roman" w:eastAsia="Times New Roman"/>
          <w:spacing w:val="1"/>
          <w:w w:val="99"/>
        </w:rPr>
        <w:t>10</w:t>
      </w:r>
      <w:r>
        <w:rPr>
          <w:rFonts w:ascii="Times New Roman" w:eastAsia="Times New Roman"/>
          <w:spacing w:val="2"/>
          <w:w w:val="99"/>
        </w:rPr>
        <w:t>%</w:t>
      </w:r>
      <w:r>
        <w:rPr>
          <w:w w:val="99"/>
        </w:rPr>
        <w:t>、铜奖不超过</w:t>
      </w:r>
      <w:r>
        <w:t xml:space="preserve"> </w:t>
      </w:r>
      <w:r>
        <w:rPr>
          <w:rFonts w:ascii="Times New Roman" w:eastAsia="Times New Roman"/>
          <w:spacing w:val="1"/>
          <w:w w:val="99"/>
        </w:rPr>
        <w:t>15</w:t>
      </w:r>
      <w:r>
        <w:rPr>
          <w:rFonts w:ascii="Times New Roman" w:eastAsia="Times New Roman"/>
          <w:w w:val="99"/>
        </w:rPr>
        <w:t>%</w:t>
      </w:r>
      <w:r>
        <w:rPr>
          <w:w w:val="99"/>
        </w:rPr>
        <w:t>（可空缺</w:t>
      </w:r>
      <w:r>
        <w:rPr>
          <w:spacing w:val="-161"/>
          <w:w w:val="99"/>
        </w:rPr>
        <w:t>）</w:t>
      </w:r>
      <w:r>
        <w:rPr>
          <w:w w:val="99"/>
        </w:rPr>
        <w:t>，</w:t>
      </w:r>
      <w:r>
        <w:t>具体如下：</w:t>
      </w:r>
    </w:p>
    <w:p>
      <w:pPr>
        <w:pStyle w:val="5"/>
        <w:numPr>
          <w:ilvl w:val="0"/>
          <w:numId w:val="1"/>
        </w:numPr>
        <w:tabs>
          <w:tab w:val="left" w:pos="1171"/>
        </w:tabs>
        <w:spacing w:before="0" w:after="0" w:line="552" w:lineRule="exact"/>
        <w:ind w:left="1170" w:right="0" w:hanging="399"/>
        <w:jc w:val="both"/>
        <w:rPr>
          <w:rFonts w:hint="eastAsia" w:ascii="微软雅黑" w:eastAsia="微软雅黑"/>
          <w:sz w:val="32"/>
        </w:rPr>
      </w:pPr>
      <w:r>
        <w:rPr>
          <w:rFonts w:hint="eastAsia" w:ascii="微软雅黑" w:eastAsia="微软雅黑"/>
          <w:sz w:val="32"/>
        </w:rPr>
        <w:t>书法、键盘器乐、流行舞比赛设立个人金、银、铜奖。</w:t>
      </w:r>
    </w:p>
    <w:p>
      <w:pPr>
        <w:pStyle w:val="5"/>
        <w:numPr>
          <w:ilvl w:val="0"/>
          <w:numId w:val="1"/>
        </w:numPr>
        <w:tabs>
          <w:tab w:val="left" w:pos="1171"/>
        </w:tabs>
        <w:spacing w:before="0" w:after="0" w:line="575" w:lineRule="exact"/>
        <w:ind w:left="1170" w:right="0" w:hanging="399"/>
        <w:jc w:val="both"/>
        <w:rPr>
          <w:rFonts w:hint="eastAsia" w:ascii="微软雅黑" w:eastAsia="微软雅黑"/>
          <w:sz w:val="32"/>
        </w:rPr>
      </w:pPr>
      <w:r>
        <w:rPr>
          <w:rFonts w:hint="eastAsia" w:ascii="微软雅黑" w:eastAsia="微软雅黑"/>
          <w:sz w:val="32"/>
        </w:rPr>
        <w:t>合唱、舞蹈、朗诵比赛，设立集体金、银、铜奖。</w:t>
      </w:r>
    </w:p>
    <w:p>
      <w:pPr>
        <w:spacing w:after="0" w:line="575" w:lineRule="exact"/>
        <w:jc w:val="both"/>
        <w:rPr>
          <w:rFonts w:hint="eastAsia" w:ascii="微软雅黑" w:eastAsia="微软雅黑"/>
          <w:sz w:val="32"/>
        </w:rPr>
        <w:sectPr>
          <w:pgSz w:w="11910" w:h="16840"/>
          <w:pgMar w:top="1580" w:right="160" w:bottom="1940" w:left="1400" w:header="0" w:footer="1752" w:gutter="0"/>
          <w:cols w:space="720" w:num="1"/>
        </w:sectPr>
      </w:pPr>
    </w:p>
    <w:p>
      <w:pPr>
        <w:pStyle w:val="2"/>
        <w:spacing w:before="12"/>
        <w:ind w:left="0"/>
        <w:rPr>
          <w:sz w:val="27"/>
        </w:rPr>
      </w:pPr>
    </w:p>
    <w:p>
      <w:pPr>
        <w:pStyle w:val="2"/>
        <w:spacing w:before="37" w:line="228" w:lineRule="auto"/>
        <w:ind w:right="1211" w:firstLine="640"/>
      </w:pPr>
      <w:r>
        <w:t xml:space="preserve">（二）各项目金奖节目的指导老师可获得最佳指导老师奖， 书法、键盘器乐、流行舞个人项目限报 </w:t>
      </w:r>
      <w:r>
        <w:rPr>
          <w:rFonts w:ascii="Times New Roman" w:eastAsia="Times New Roman"/>
        </w:rPr>
        <w:t xml:space="preserve">1 </w:t>
      </w:r>
      <w:r>
        <w:t>位指导老师，合唱、群</w:t>
      </w:r>
    </w:p>
    <w:p>
      <w:pPr>
        <w:pStyle w:val="2"/>
        <w:spacing w:line="228" w:lineRule="auto"/>
        <w:ind w:right="1373"/>
      </w:pPr>
      <w:r>
        <w:rPr>
          <w:spacing w:val="-11"/>
        </w:rPr>
        <w:t xml:space="preserve">舞、朗诵、流行舞集体项目最多可报 </w:t>
      </w:r>
      <w:r>
        <w:rPr>
          <w:rFonts w:ascii="Times New Roman" w:eastAsia="Times New Roman"/>
        </w:rPr>
        <w:t xml:space="preserve">2 </w:t>
      </w:r>
      <w:r>
        <w:rPr>
          <w:spacing w:val="-7"/>
        </w:rPr>
        <w:t>位指导老师，评奖后不再</w:t>
      </w:r>
      <w:r>
        <w:t>追加和修改。</w:t>
      </w:r>
    </w:p>
    <w:p>
      <w:pPr>
        <w:pStyle w:val="2"/>
        <w:spacing w:line="228" w:lineRule="auto"/>
        <w:ind w:right="1211" w:firstLine="640"/>
      </w:pPr>
      <w:r>
        <w:t>（三</w:t>
      </w:r>
      <w:r>
        <w:rPr>
          <w:spacing w:val="-92"/>
        </w:rPr>
        <w:t>）</w:t>
      </w:r>
      <w:r>
        <w:rPr>
          <w:spacing w:val="-13"/>
        </w:rPr>
        <w:t>根据组织各单位重视程度、组织机构设置、经费保障、</w:t>
      </w:r>
      <w:r>
        <w:rPr>
          <w:spacing w:val="-11"/>
        </w:rPr>
        <w:t>组织报名、初赛和复赛情况、活动覆盖面及影响力、对活动的宣</w:t>
      </w:r>
      <w:r>
        <w:rPr>
          <w:spacing w:val="-14"/>
        </w:rPr>
        <w:t>传报道情况、推报至全省总决赛的作品和选手的数量及其获奖情况等条件综合评选优秀组织奖。</w:t>
      </w:r>
    </w:p>
    <w:p>
      <w:pPr>
        <w:pStyle w:val="2"/>
        <w:spacing w:line="554" w:lineRule="exact"/>
        <w:ind w:left="772"/>
      </w:pPr>
      <w:r>
        <w:t>三、评委构成</w:t>
      </w:r>
    </w:p>
    <w:p>
      <w:pPr>
        <w:pStyle w:val="2"/>
        <w:spacing w:before="4" w:line="228" w:lineRule="auto"/>
        <w:ind w:right="1361" w:firstLine="640"/>
      </w:pPr>
      <w:r>
        <w:rPr>
          <w:w w:val="95"/>
        </w:rPr>
        <w:t>（一</w:t>
      </w:r>
      <w:r>
        <w:rPr>
          <w:spacing w:val="-147"/>
          <w:w w:val="95"/>
        </w:rPr>
        <w:t>）</w:t>
      </w:r>
      <w:r>
        <w:rPr>
          <w:spacing w:val="-13"/>
          <w:w w:val="95"/>
        </w:rPr>
        <w:t xml:space="preserve">第十届湖南省青年文化艺术节各项赛事的全省总决赛评  </w:t>
      </w:r>
      <w:r>
        <w:rPr>
          <w:spacing w:val="-13"/>
        </w:rPr>
        <w:t>委由艺术节组委会从省教育厅专家资料库中随机抽取专家担任。</w:t>
      </w:r>
    </w:p>
    <w:p>
      <w:pPr>
        <w:pStyle w:val="2"/>
        <w:spacing w:line="228" w:lineRule="auto"/>
        <w:ind w:left="772" w:right="2649"/>
      </w:pPr>
      <w:r>
        <w:t xml:space="preserve">（二）每个项目的全省总决赛安排 </w:t>
      </w:r>
      <w:r>
        <w:rPr>
          <w:rFonts w:ascii="Times New Roman" w:eastAsia="Times New Roman"/>
        </w:rPr>
        <w:t>3</w:t>
      </w:r>
      <w:r>
        <w:t>－</w:t>
      </w:r>
      <w:r>
        <w:rPr>
          <w:rFonts w:ascii="Times New Roman" w:eastAsia="Times New Roman"/>
        </w:rPr>
        <w:t xml:space="preserve">5 </w:t>
      </w:r>
      <w:r>
        <w:t>个评委。四、评奖程序</w:t>
      </w:r>
    </w:p>
    <w:p>
      <w:pPr>
        <w:pStyle w:val="2"/>
        <w:spacing w:before="79"/>
        <w:ind w:left="772"/>
        <w:rPr>
          <w:rFonts w:hint="eastAsia" w:ascii="宋体" w:eastAsia="宋体"/>
        </w:rPr>
      </w:pPr>
      <w:r>
        <w:rPr>
          <w:rFonts w:hint="eastAsia" w:ascii="宋体" w:eastAsia="宋体"/>
        </w:rPr>
        <w:t>（一）书法比赛</w:t>
      </w:r>
    </w:p>
    <w:p>
      <w:pPr>
        <w:pStyle w:val="2"/>
        <w:spacing w:before="71" w:line="228" w:lineRule="auto"/>
        <w:ind w:right="1376" w:firstLine="640"/>
        <w:jc w:val="both"/>
      </w:pPr>
      <w:r>
        <w:rPr>
          <w:spacing w:val="6"/>
          <w:w w:val="95"/>
        </w:rPr>
        <w:t xml:space="preserve">各参赛单位推报参赛选手→选手现场签到比赛→评委审查  总决选作品→评委评议作品→按得奖比例确定获奖名单→获奖  名单报艺术节组委会审查→获奖名单网上公示→主办单位正式  </w:t>
      </w:r>
      <w:r>
        <w:rPr>
          <w:spacing w:val="6"/>
        </w:rPr>
        <w:t>通报</w:t>
      </w:r>
    </w:p>
    <w:p>
      <w:pPr>
        <w:pStyle w:val="2"/>
        <w:spacing w:before="79"/>
        <w:ind w:left="772"/>
        <w:rPr>
          <w:rFonts w:hint="eastAsia" w:ascii="宋体" w:eastAsia="宋体"/>
        </w:rPr>
      </w:pPr>
      <w:r>
        <w:rPr>
          <w:rFonts w:hint="eastAsia" w:ascii="宋体" w:eastAsia="宋体"/>
        </w:rPr>
        <w:t>（二）舞蹈、声乐、朗诵、键盘器乐、流行舞比赛</w:t>
      </w:r>
    </w:p>
    <w:p>
      <w:pPr>
        <w:pStyle w:val="2"/>
        <w:spacing w:before="68" w:line="228" w:lineRule="auto"/>
        <w:ind w:right="1361" w:firstLine="640"/>
        <w:jc w:val="both"/>
      </w:pPr>
      <w:r>
        <w:rPr>
          <w:spacing w:val="-6"/>
        </w:rPr>
        <w:t xml:space="preserve">各参赛单位推报参赛选手→征集选手录演视频、核对信息→ </w:t>
      </w:r>
      <w:r>
        <w:rPr>
          <w:spacing w:val="18"/>
        </w:rPr>
        <w:t xml:space="preserve">评选 </w:t>
      </w:r>
      <w:r>
        <w:rPr>
          <w:rFonts w:ascii="Times New Roman" w:hAnsi="Times New Roman" w:eastAsia="Times New Roman"/>
          <w:spacing w:val="2"/>
        </w:rPr>
        <w:t>30%</w:t>
      </w:r>
      <w:r>
        <w:rPr>
          <w:spacing w:val="4"/>
        </w:rPr>
        <w:t>以内的选手入围总决赛→总决赛选手名单公示→选手</w:t>
      </w:r>
      <w:r>
        <w:rPr>
          <w:spacing w:val="6"/>
          <w:w w:val="95"/>
        </w:rPr>
        <w:t>现场签到比赛→评委当场打分→当天比赛的每个节目最终分数</w:t>
      </w:r>
    </w:p>
    <w:p>
      <w:pPr>
        <w:spacing w:after="0" w:line="228" w:lineRule="auto"/>
        <w:jc w:val="both"/>
        <w:sectPr>
          <w:pgSz w:w="11910" w:h="16840"/>
          <w:pgMar w:top="1580" w:right="160" w:bottom="1940" w:left="1400" w:header="0" w:footer="1752" w:gutter="0"/>
          <w:cols w:space="720" w:num="1"/>
        </w:sectPr>
      </w:pPr>
    </w:p>
    <w:p>
      <w:pPr>
        <w:pStyle w:val="2"/>
        <w:spacing w:before="12"/>
        <w:ind w:left="0"/>
        <w:rPr>
          <w:sz w:val="27"/>
        </w:rPr>
      </w:pPr>
    </w:p>
    <w:p>
      <w:pPr>
        <w:pStyle w:val="2"/>
        <w:spacing w:before="37" w:line="228" w:lineRule="auto"/>
        <w:ind w:right="1374"/>
        <w:jc w:val="both"/>
      </w:pPr>
      <w:r>
        <w:rPr>
          <w:spacing w:val="-10"/>
        </w:rPr>
        <w:t>公示→比赛完毕后成绩汇总、排序→按从高到低顺序和得奖比例</w:t>
      </w:r>
      <w:r>
        <w:rPr>
          <w:spacing w:val="6"/>
          <w:w w:val="95"/>
        </w:rPr>
        <w:t xml:space="preserve">确定获奖名单→获奖名单报艺术节组委会审查→获奖名单网上  </w:t>
      </w:r>
      <w:r>
        <w:rPr>
          <w:spacing w:val="6"/>
        </w:rPr>
        <w:t>公示→主办单位正式通报</w:t>
      </w:r>
    </w:p>
    <w:p>
      <w:pPr>
        <w:pStyle w:val="2"/>
        <w:spacing w:line="552" w:lineRule="exact"/>
        <w:ind w:left="772"/>
      </w:pPr>
      <w:r>
        <w:t>五、奖励</w:t>
      </w:r>
    </w:p>
    <w:p>
      <w:pPr>
        <w:pStyle w:val="2"/>
        <w:spacing w:before="6" w:line="228" w:lineRule="auto"/>
        <w:ind w:right="1372" w:firstLine="640"/>
      </w:pPr>
      <w:r>
        <w:t>（一</w:t>
      </w:r>
      <w:r>
        <w:rPr>
          <w:spacing w:val="-29"/>
        </w:rPr>
        <w:t>）</w:t>
      </w:r>
      <w:r>
        <w:rPr>
          <w:spacing w:val="-10"/>
        </w:rPr>
        <w:t>各项目的个人金、银、铜选手，每人可获得由主办单</w:t>
      </w:r>
      <w:r>
        <w:t>位颁发的获奖证书，金奖选手可获得金奖奖杯。</w:t>
      </w:r>
    </w:p>
    <w:p>
      <w:pPr>
        <w:pStyle w:val="2"/>
        <w:spacing w:before="1" w:line="228" w:lineRule="auto"/>
        <w:ind w:right="1372" w:firstLine="640"/>
      </w:pPr>
      <w:r>
        <w:t>（二</w:t>
      </w:r>
      <w:r>
        <w:rPr>
          <w:spacing w:val="-29"/>
        </w:rPr>
        <w:t>）</w:t>
      </w:r>
      <w:r>
        <w:rPr>
          <w:spacing w:val="-10"/>
        </w:rPr>
        <w:t>各项目的集体金、银、铜选手，每个节目可获得由主</w:t>
      </w:r>
      <w:r>
        <w:t>办单位颁发的获奖证书，金奖节目可获得奖杯。</w:t>
      </w:r>
    </w:p>
    <w:p>
      <w:pPr>
        <w:pStyle w:val="2"/>
        <w:spacing w:line="228" w:lineRule="auto"/>
        <w:ind w:right="1373" w:firstLine="640"/>
      </w:pPr>
      <w:r>
        <w:t>（三</w:t>
      </w:r>
      <w:r>
        <w:rPr>
          <w:spacing w:val="-116"/>
        </w:rPr>
        <w:t>）</w:t>
      </w:r>
      <w:r>
        <w:rPr>
          <w:spacing w:val="-1"/>
        </w:rPr>
        <w:t>最佳指导老师和优秀组织单位可获得由主办单位颁发</w:t>
      </w:r>
      <w:r>
        <w:t>的获奖证书。</w:t>
      </w:r>
    </w:p>
    <w:p>
      <w:pPr>
        <w:pStyle w:val="2"/>
        <w:spacing w:line="566" w:lineRule="exact"/>
        <w:ind w:left="772"/>
      </w:pPr>
      <w:r>
        <w:rPr>
          <w:w w:val="95"/>
        </w:rPr>
        <w:t>六、其他</w:t>
      </w:r>
    </w:p>
    <w:p>
      <w:pPr>
        <w:pStyle w:val="2"/>
        <w:spacing w:before="82"/>
        <w:ind w:left="772"/>
      </w:pPr>
      <w:r>
        <w:t>文件未尽事宜，另行通知。</w:t>
      </w:r>
    </w:p>
    <w:p/>
    <w:sectPr>
      <w:pgSz w:w="11910" w:h="16840"/>
      <w:pgMar w:top="1580" w:right="160" w:bottom="1940" w:left="1400" w:header="0" w:footer="17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82F6E"/>
    <w:multiLevelType w:val="multilevel"/>
    <w:tmpl w:val="60382F6E"/>
    <w:lvl w:ilvl="0" w:tentative="0">
      <w:start w:val="1"/>
      <w:numFmt w:val="decimal"/>
      <w:lvlText w:val="%1."/>
      <w:lvlJc w:val="left"/>
      <w:pPr>
        <w:ind w:left="1170" w:hanging="399"/>
        <w:jc w:val="left"/>
      </w:pPr>
      <w:rPr>
        <w:rFonts w:hint="default" w:ascii="Times New Roman" w:hAnsi="Times New Roman" w:eastAsia="Times New Roman" w:cs="Times New Roman"/>
        <w:spacing w:val="0"/>
        <w:w w:val="99"/>
        <w:sz w:val="32"/>
        <w:szCs w:val="32"/>
        <w:lang w:val="en-US" w:eastAsia="zh-CN" w:bidi="ar-SA"/>
      </w:rPr>
    </w:lvl>
    <w:lvl w:ilvl="1" w:tentative="0">
      <w:start w:val="0"/>
      <w:numFmt w:val="bullet"/>
      <w:lvlText w:val="•"/>
      <w:lvlJc w:val="left"/>
      <w:pPr>
        <w:ind w:left="2096" w:hanging="399"/>
      </w:pPr>
      <w:rPr>
        <w:rFonts w:hint="default"/>
        <w:lang w:val="en-US" w:eastAsia="zh-CN" w:bidi="ar-SA"/>
      </w:rPr>
    </w:lvl>
    <w:lvl w:ilvl="2" w:tentative="0">
      <w:start w:val="0"/>
      <w:numFmt w:val="bullet"/>
      <w:lvlText w:val="•"/>
      <w:lvlJc w:val="left"/>
      <w:pPr>
        <w:ind w:left="3013" w:hanging="399"/>
      </w:pPr>
      <w:rPr>
        <w:rFonts w:hint="default"/>
        <w:lang w:val="en-US" w:eastAsia="zh-CN" w:bidi="ar-SA"/>
      </w:rPr>
    </w:lvl>
    <w:lvl w:ilvl="3" w:tentative="0">
      <w:start w:val="0"/>
      <w:numFmt w:val="bullet"/>
      <w:lvlText w:val="•"/>
      <w:lvlJc w:val="left"/>
      <w:pPr>
        <w:ind w:left="3929" w:hanging="399"/>
      </w:pPr>
      <w:rPr>
        <w:rFonts w:hint="default"/>
        <w:lang w:val="en-US" w:eastAsia="zh-CN" w:bidi="ar-SA"/>
      </w:rPr>
    </w:lvl>
    <w:lvl w:ilvl="4" w:tentative="0">
      <w:start w:val="0"/>
      <w:numFmt w:val="bullet"/>
      <w:lvlText w:val="•"/>
      <w:lvlJc w:val="left"/>
      <w:pPr>
        <w:ind w:left="4846" w:hanging="399"/>
      </w:pPr>
      <w:rPr>
        <w:rFonts w:hint="default"/>
        <w:lang w:val="en-US" w:eastAsia="zh-CN" w:bidi="ar-SA"/>
      </w:rPr>
    </w:lvl>
    <w:lvl w:ilvl="5" w:tentative="0">
      <w:start w:val="0"/>
      <w:numFmt w:val="bullet"/>
      <w:lvlText w:val="•"/>
      <w:lvlJc w:val="left"/>
      <w:pPr>
        <w:ind w:left="5763" w:hanging="399"/>
      </w:pPr>
      <w:rPr>
        <w:rFonts w:hint="default"/>
        <w:lang w:val="en-US" w:eastAsia="zh-CN" w:bidi="ar-SA"/>
      </w:rPr>
    </w:lvl>
    <w:lvl w:ilvl="6" w:tentative="0">
      <w:start w:val="0"/>
      <w:numFmt w:val="bullet"/>
      <w:lvlText w:val="•"/>
      <w:lvlJc w:val="left"/>
      <w:pPr>
        <w:ind w:left="6679" w:hanging="399"/>
      </w:pPr>
      <w:rPr>
        <w:rFonts w:hint="default"/>
        <w:lang w:val="en-US" w:eastAsia="zh-CN" w:bidi="ar-SA"/>
      </w:rPr>
    </w:lvl>
    <w:lvl w:ilvl="7" w:tentative="0">
      <w:start w:val="0"/>
      <w:numFmt w:val="bullet"/>
      <w:lvlText w:val="•"/>
      <w:lvlJc w:val="left"/>
      <w:pPr>
        <w:ind w:left="7596" w:hanging="399"/>
      </w:pPr>
      <w:rPr>
        <w:rFonts w:hint="default"/>
        <w:lang w:val="en-US" w:eastAsia="zh-CN" w:bidi="ar-SA"/>
      </w:rPr>
    </w:lvl>
    <w:lvl w:ilvl="8" w:tentative="0">
      <w:start w:val="0"/>
      <w:numFmt w:val="bullet"/>
      <w:lvlText w:val="•"/>
      <w:lvlJc w:val="left"/>
      <w:pPr>
        <w:ind w:left="8513" w:hanging="399"/>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WYzNzVjNTU5NmFjYjJjNzNlODgzNDM0OTM2NTEifQ=="/>
  </w:docVars>
  <w:rsids>
    <w:rsidRoot w:val="065F4AEA"/>
    <w:rsid w:val="065F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31"/>
    </w:pPr>
    <w:rPr>
      <w:rFonts w:ascii="微软雅黑" w:hAnsi="微软雅黑" w:eastAsia="微软雅黑" w:cs="微软雅黑"/>
      <w:sz w:val="32"/>
      <w:szCs w:val="32"/>
      <w:lang w:val="en-US" w:eastAsia="zh-CN" w:bidi="ar-SA"/>
    </w:rPr>
  </w:style>
  <w:style w:type="paragraph" w:styleId="5">
    <w:name w:val="List Paragraph"/>
    <w:basedOn w:val="1"/>
    <w:qFormat/>
    <w:uiPriority w:val="1"/>
    <w:pPr>
      <w:ind w:left="131" w:firstLine="640"/>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2023-12-07T00:49:00Z</dcterms:created>
  <dc:creator>W</dc:creator>
  <cp:lastModifiedBy>W</cp:lastModifiedBy>
  <dcterms:modified xsi:type="dcterms:W3CDTF">2023-12-07T00:50:31Z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A82DBD188D4349AC9C63164A9150716E</vt:lpwstr>
  </property>
</Properties>
</file>